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Детская онкология-гематология</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25.07.2026, 03:14 МСК · База обновлена: 23.07.2026, 17:38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0002</w:t>
      </w:r>
    </w:p>
    <w:p>
      <w:r>
        <w:rPr>
          <w:b/>
        </w:rPr>
        <w:t xml:space="preserve">Образование: </w:t>
      </w:r>
      <w:r>
        <w:t>Высшее образование</w:t>
      </w:r>
      <w:r>
        <w:rPr>
          <w:b/>
        </w:rPr>
        <w:t xml:space="preserve"> | Специальность: </w:t>
      </w:r>
      <w:r>
        <w:t>Детская онкология-гематология</w:t>
      </w:r>
    </w:p>
    <w:p>
      <w:pPr>
        <w:pStyle w:val="Heading2"/>
      </w:pPr>
      <w:r>
        <w:t>1. УСЛОВИЕ СИТУАЦИОННОЙ ЗАДАЧИ</w:t>
      </w:r>
    </w:p>
    <w:p>
      <w:pPr>
        <w:pStyle w:val="Heading3"/>
      </w:pPr>
      <w:r>
        <w:t>1.1. Ситуация</w:t>
      </w:r>
    </w:p>
    <w:p>
      <w:pPr>
        <w:spacing w:after="58"/>
      </w:pPr>
      <w:r>
        <w:rPr>
          <w:b w:val="0"/>
          <w:i w:val="0"/>
        </w:rPr>
        <w:t>Девочка 15 лет госпитализирована в хирургический стационар.</w:t>
      </w:r>
    </w:p>
    <w:p>
      <w:pPr>
        <w:pStyle w:val="Heading3"/>
      </w:pPr>
      <w:r>
        <w:t>1.2. Жалобы</w:t>
      </w:r>
    </w:p>
    <w:p>
      <w:pPr>
        <w:spacing w:after="58"/>
      </w:pPr>
      <w:r>
        <w:rPr>
          <w:b w:val="0"/>
          <w:i w:val="0"/>
        </w:rPr>
        <w:t>на боли по задней поверхности левого бедра, иррадиирующие в голень.</w:t>
      </w:r>
    </w:p>
    <w:p>
      <w:pPr>
        <w:pStyle w:val="Heading3"/>
      </w:pPr>
      <w:r>
        <w:t>1.3. Анамнез заболевания</w:t>
      </w:r>
    </w:p>
    <w:p>
      <w:pPr>
        <w:spacing w:after="58"/>
      </w:pPr>
      <w:r>
        <w:rPr>
          <w:b w:val="0"/>
          <w:i w:val="0"/>
        </w:rPr>
        <w:t>Три месяца назад появились боли в задне-латеральной поверхности левого бедра, иррадиирующие в верхнюю треть голени. По месту жительства выполнена рентгенография костей таза и нижних конечностей - без патологии, по данным МРТ протрузия L-4. Получила курс физиотерапии, лечебной физкультуры и массажа с кратковременным положительным эффектом. Месяц назад отмечено усиление болевого синдрома, получила курс НПВС без эффекта.</w:t>
      </w:r>
    </w:p>
    <w:p>
      <w:pPr>
        <w:pStyle w:val="Heading3"/>
      </w:pPr>
      <w:r>
        <w:t>1.4. Анамнез жизни</w:t>
      </w:r>
    </w:p>
    <w:p>
      <w:pPr>
        <w:spacing w:after="58"/>
      </w:pPr>
      <w:r>
        <w:rPr>
          <w:b w:val="0"/>
          <w:i w:val="0"/>
        </w:rPr>
        <w:t>* Ребенок от 1-й беременности, протекавшей без осложнений. От 1-х самостоятельных срочных родов. Вес при рождении 3540 г, длина тела 53 см. Ранее развитие по возрасту. На диспансерном учете не состоит. Травмы и операции отрицает. Вакцинирована по национальному календарю.</w:t>
      </w:r>
    </w:p>
    <w:p>
      <w:pPr>
        <w:spacing w:after="58"/>
      </w:pPr>
      <w:r>
        <w:rPr>
          <w:b w:val="0"/>
          <w:i w:val="0"/>
        </w:rPr>
        <w:t>* Перенесла: ОРВИ, ветряную оспу.</w:t>
      </w:r>
    </w:p>
    <w:p>
      <w:pPr>
        <w:pStyle w:val="Heading3"/>
      </w:pPr>
      <w:r>
        <w:t>1.5. Объективный статус</w:t>
      </w:r>
    </w:p>
    <w:p>
      <w:pPr>
        <w:spacing w:after="58"/>
      </w:pPr>
      <w:r>
        <w:rPr>
          <w:b w:val="0"/>
          <w:i w:val="0"/>
        </w:rPr>
        <w:t>Т – 36,6°С. АД=112/65 мм рт. ст. Пульс 79 уд/мин. ЧДД=18 в мин. Состояние стабильное. Сознание ясное. Кожные покровы бледно-розовые, чистые. Геморрагический синдром не выражен. Костно-мышечная система без видимой патологии. Ограничение активных движений в левом тазобедренном суставе. Видимые слизистые ротовой полости розовые, влажные, чистые. Сердечно-легочная деятельность удовлетворительная. Тошноты, рвоты нет. Живот при пальпации мягкий, безболезненный. Мочеотделение самостоятельное, безболезненное. Моча светло-желтая, прозрачная. Стул регулярный, без патологических примесей.</w:t>
      </w:r>
    </w:p>
    <w:p>
      <w:pPr>
        <w:pStyle w:val="Heading2"/>
      </w:pPr>
      <w:r>
        <w:t>1. План обследования</w:t>
      </w:r>
    </w:p>
    <w:p>
      <w:pPr>
        <w:pStyle w:val="Heading3"/>
        <w:keepNext/>
      </w:pPr>
      <w:r>
        <w:rPr>
          <w:b/>
          <w:color w:val="173C49"/>
        </w:rPr>
        <w:t>Вопрос 1.</w:t>
      </w:r>
    </w:p>
    <w:p>
      <w:pPr>
        <w:keepNext/>
      </w:pPr>
      <w:r>
        <w:rPr>
          <w:b w:val="0"/>
          <w:i w:val="0"/>
        </w:rPr>
        <w:t>К необходимым в данной ситуации лабораторным методам исследования относятся</w:t>
      </w:r>
    </w:p>
    <w:p>
      <w:pPr>
        <w:tabs>
          <w:tab w:pos="490" w:val="left"/>
        </w:tabs>
        <w:spacing w:after="60"/>
        <w:ind w:left="490" w:hanging="490"/>
      </w:pPr>
      <w:r>
        <w:rPr>
          <w:b/>
        </w:rPr>
        <w:t>1.</w:t>
      </w:r>
      <w:r>
        <w:tab/>
      </w:r>
      <w:r>
        <w:rPr>
          <w:b w:val="0"/>
          <w:i w:val="0"/>
        </w:rPr>
        <w:t>бактериологический посев кала</w:t>
      </w:r>
    </w:p>
    <w:p>
      <w:pPr>
        <w:tabs>
          <w:tab w:pos="490" w:val="left"/>
        </w:tabs>
        <w:spacing w:after="60"/>
        <w:ind w:left="490" w:hanging="490"/>
      </w:pPr>
      <w:r>
        <w:rPr>
          <w:b/>
        </w:rPr>
        <w:t>2.</w:t>
      </w:r>
      <w:r>
        <w:tab/>
      </w:r>
      <w:r>
        <w:rPr>
          <w:b w:val="0"/>
          <w:i w:val="0"/>
        </w:rPr>
        <w:t>коагулограмма</w:t>
      </w:r>
    </w:p>
    <w:p>
      <w:pPr>
        <w:tabs>
          <w:tab w:pos="490" w:val="left"/>
        </w:tabs>
        <w:spacing w:after="60"/>
        <w:ind w:left="490" w:hanging="490"/>
      </w:pPr>
      <w:r>
        <w:rPr>
          <w:b/>
        </w:rPr>
        <w:t>3.</w:t>
      </w:r>
      <w:r>
        <w:tab/>
      </w:r>
      <w:r>
        <w:rPr>
          <w:b w:val="0"/>
          <w:i w:val="0"/>
        </w:rPr>
        <w:t>исследование уровней АФП и НСЕ в крови</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общий анализ крови развернутый</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20"/>
                    <a:stretch>
                      <a:fillRect/>
                    </a:stretch>
                  </pic:blipFill>
                  <pic:spPr>
                    <a:xfrm>
                      <a:off x="0" y="0"/>
                      <a:ext cx="214884" cy="214884"/>
                    </a:xfrm>
                    <a:prstGeom prst="rect"/>
                  </pic:spPr>
                </pic:pic>
              </a:graphicData>
            </a:graphic>
          </wp:inline>
        </w:drawing>
      </w:r>
      <w:r>
        <w:tab/>
      </w:r>
      <w:r>
        <w:rPr>
          <w:b w:val="0"/>
          <w:i w:val="0"/>
        </w:rPr>
        <w:t>биохимический анализ крови</w:t>
      </w:r>
    </w:p>
    <w:p>
      <w:pPr>
        <w:ind w:left="288"/>
      </w:pPr>
      <w:r>
        <w:rPr>
          <w:b/>
          <w:color w:val="173C49"/>
        </w:rPr>
        <w:t xml:space="preserve">Правильные ответы: </w:t>
      </w:r>
      <w:r>
        <w:rPr>
          <w:b/>
          <w:i w:val="0"/>
        </w:rPr>
        <w:t>4 — общий анализ крови развернутый; 5 — биохимический анализ крови</w:t>
      </w:r>
    </w:p>
    <w:p>
      <w:pPr>
        <w:ind w:left="504"/>
      </w:pPr>
      <w:r>
        <w:rPr>
          <w:b w:val="0"/>
          <w:i/>
        </w:rPr>
        <w:t>Всем пациентам с подозрением на ЗНО кости или установленным диагнозом ЗНО кости при первичном приеме, а также при каждом приеме у врача-детского онколога, перед каждым последующим курсом химиотерапии, при оценке ответа на проведенную терапию в процессе лечения и в динамическом наблюдении рекомендуется для уточнения состояния пациента, планирования терапевтической тактики и определения необходимости ее модификации, а также для определения потребности в сопутствующей и сопроводительной терапии выполнение следующих лабораторных исследований: общий (клинический) анализ крови развернутый;</w:t>
        <w:br/>
        <w:br/>
        <w:t>При остеосаркоме могут наблюдаться в клиническом анализе крови лейкоцитоз, повышение СОЭ.</w:t>
        <w:br/>
        <w:br/>
      </w:r>
      <w:hyperlink r:id="rId21">
        <w:r>
          <w:rPr>
            <w:color w:val="173C49"/>
            <w:u w:val="single"/>
          </w:rPr>
          <w:t>Клинические рекомендации Минздрава России. Злокачественные новообразования костей и суставных хрящей: остеосаркома, саркома Юинга, 2024 г.</w:t>
        </w:r>
      </w:hyperlink>
      <w:r>
        <w:rPr>
          <w:b w:val="0"/>
          <w:i/>
        </w:rPr>
        <w:t xml:space="preserve"> </w:t>
      </w:r>
      <w:hyperlink r:id="rId22">
        <w:r>
          <w:rPr>
            <w:color w:val="173C49"/>
            <w:u w:val="single"/>
          </w:rPr>
          <w:t>(1)</w:t>
        </w:r>
      </w:hyperlink>
    </w:p>
    <w:p>
      <w:pPr>
        <w:ind w:left="504"/>
      </w:pPr>
      <w:r>
        <w:rPr>
          <w:b w:val="0"/>
          <w:i/>
        </w:rPr>
        <w:t>Всем пациентам с подозрением на ЗНО кости или установленным диагнозом ЗНО кости при первичном приеме, а также при каждом приеме у врача-детского онколога, перед каждым последующим курсом химиотерапии, при оценке ответа на проведенную терапию в процессе лечения и в динамическом наблюдении рекомендуется для уточнения состояния пациента, планирования терапевтической тактики и определения необходимости ее модификации, а также для определения потребности в сопутствующей и сопроводительной терапии выполнение следующих лабораторных исследований: анализ крови биохимический общетерапевтический с включением следующих параметров: определение активности лактатдегидрогеназы в крови (ЛДГ), определение активности аланинаминорансферазы в крови (АЛТ), определение активности аспартатаминотрансферазы в крови (АСТ), исследование уровня общего билирубина в крови, определение активности щелочной фосфатазы в крови, исследование уровня общего белка в крови, исследование уровня альбумина в крови, исследование уровня креатинина в крови, исследование уровня мочевины в крови, исследование уровня мочевой кислоты в крови, исследование уровня калия в крови, исследование уровня натрия в крови, исследование уровня хлоридов в крови, исследование уровня кальция в крови (другие параметры биохимического анализа крови могут быть включены в исследование на усмотрение врача);</w:t>
        <w:br/>
        <w:br/>
      </w:r>
      <w:hyperlink r:id="rId21">
        <w:r>
          <w:rPr>
            <w:color w:val="173C49"/>
            <w:u w:val="single"/>
          </w:rPr>
          <w:t>Клинические рекомендации Минздрава России. Злокачественные новообразования костей и суставных хрящей: остеосаркома, саркома Юинга, 2024 г.</w:t>
        </w:r>
      </w:hyperlink>
      <w:r>
        <w:rPr>
          <w:b w:val="0"/>
          <w:i/>
        </w:rPr>
        <w:t xml:space="preserve"> </w:t>
      </w:r>
      <w:hyperlink r:id="rId23">
        <w:r>
          <w:rPr>
            <w:color w:val="173C49"/>
            <w:u w:val="single"/>
          </w:rPr>
          <w:t>(1)</w:t>
        </w:r>
      </w:hyperlink>
    </w:p>
    <w:p>
      <w:pPr>
        <w:pStyle w:val="Heading3"/>
        <w:keepNext/>
      </w:pPr>
      <w:r>
        <w:rPr>
          <w:b/>
          <w:color w:val="173C49"/>
        </w:rPr>
        <w:t>Вопрос 2.</w:t>
      </w:r>
    </w:p>
    <w:p>
      <w:pPr>
        <w:keepNext/>
      </w:pPr>
      <w:r>
        <w:rPr>
          <w:b w:val="0"/>
          <w:i w:val="0"/>
        </w:rPr>
        <w:t>К необходимым для постановки основного диагноза инструментальным методам исследования относится</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сцинтиграфия костей скелета</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5"/>
                    <a:stretch>
                      <a:fillRect/>
                    </a:stretch>
                  </pic:blipFill>
                  <pic:spPr>
                    <a:xfrm>
                      <a:off x="0" y="0"/>
                      <a:ext cx="214884" cy="214884"/>
                    </a:xfrm>
                    <a:prstGeom prst="rect"/>
                  </pic:spPr>
                </pic:pic>
              </a:graphicData>
            </a:graphic>
          </wp:inline>
        </w:drawing>
      </w:r>
      <w:r>
        <w:tab/>
      </w:r>
      <w:r>
        <w:rPr>
          <w:b w:val="0"/>
          <w:i w:val="0"/>
        </w:rPr>
        <w:t>магнитно-резонансная томография (МРТ) пораженного участка со смежными суставами</w:t>
      </w:r>
    </w:p>
    <w:p>
      <w:pPr>
        <w:tabs>
          <w:tab w:pos="490" w:val="left"/>
        </w:tabs>
        <w:spacing w:after="60"/>
        <w:ind w:left="490" w:hanging="490"/>
      </w:pPr>
      <w:r>
        <w:rPr>
          <w:b/>
        </w:rPr>
        <w:t>3.</w:t>
      </w:r>
      <w:r>
        <w:tab/>
      </w:r>
      <w:r>
        <w:rPr>
          <w:b w:val="0"/>
          <w:i w:val="0"/>
        </w:rPr>
        <w:t>электрокардиография в покое</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компьютерная томография (КТ) пораженного отдела скелета</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20"/>
                    <a:stretch>
                      <a:fillRect/>
                    </a:stretch>
                  </pic:blipFill>
                  <pic:spPr>
                    <a:xfrm>
                      <a:off x="0" y="0"/>
                      <a:ext cx="214884" cy="214884"/>
                    </a:xfrm>
                    <a:prstGeom prst="rect"/>
                  </pic:spPr>
                </pic:pic>
              </a:graphicData>
            </a:graphic>
          </wp:inline>
        </w:drawing>
      </w:r>
      <w:r>
        <w:tab/>
      </w:r>
      <w:r>
        <w:rPr>
          <w:b w:val="0"/>
          <w:i w:val="0"/>
        </w:rPr>
        <w:t>КТ органов грудной полости с в/в контрастированием</w:t>
      </w:r>
    </w:p>
    <w:p>
      <w:pPr>
        <w:tabs>
          <w:tab w:pos="490" w:val="left"/>
        </w:tabs>
        <w:spacing w:after="60"/>
        <w:ind w:left="490" w:hanging="490"/>
      </w:pPr>
      <w:r>
        <w:rPr>
          <w:b/>
        </w:rPr>
        <w:t>6.</w:t>
      </w:r>
      <w:r>
        <w:tab/>
      </w:r>
      <w:r>
        <w:rPr>
          <w:b w:val="0"/>
          <w:i w:val="0"/>
        </w:rPr>
        <w:t>УЗИ органов брюшной полости и мочевыделительной системы</w:t>
      </w:r>
    </w:p>
    <w:p>
      <w:pPr>
        <w:ind w:left="288"/>
      </w:pPr>
      <w:r>
        <w:rPr>
          <w:b/>
          <w:color w:val="173C49"/>
        </w:rPr>
        <w:t xml:space="preserve">Правильные ответы: </w:t>
      </w:r>
      <w:r>
        <w:rPr>
          <w:b/>
          <w:i w:val="0"/>
        </w:rPr>
        <w:t>1 — сцинтиграфия костей скелета; 2 — магнитно-резонансная томография (МРТ) пораженного участка со смежными суставами; 4 — компьютерная томография (КТ) пораженного отдела скелета; 5 — КТ органов грудной полости с в/в контрастированием</w:t>
      </w:r>
    </w:p>
    <w:p>
      <w:pPr>
        <w:ind w:left="504"/>
      </w:pPr>
      <w:r>
        <w:rPr>
          <w:b w:val="0"/>
          <w:i/>
        </w:rPr>
        <w:t>Всем пациентам с подозрением на ЗНО кости или выявленным ЗНО кости при первичном обследовании, при оценке ответа на проведенную терапию в процессе лечения и в динамическом наблюдении, а также при подозрении на рецидив заболевания при отсутствии возможности выполнить ПЭТ/КТ, а в некоторых случаях и в дополнение к ПЭТ/КТ рекомендовано выполнение сцинтиграфии костей скелета с соединениями технеция (99mTc) в режиме все тело с дополнительным выполнением протокола однофотонной эмиссионной компьютерной томографии, совмещенной с компьютерной томографией костей всего тела (ОФЭКТ/КТ) при наличии одиночного или нескольких сомнительных очагов гиперфиксации по результатам планарных изображений.</w:t>
        <w:br/>
        <w:br/>
      </w:r>
      <w:hyperlink r:id="rId21">
        <w:r>
          <w:rPr>
            <w:color w:val="173C49"/>
            <w:u w:val="single"/>
          </w:rPr>
          <w:t>Клинические рекомендации Минздрава России. Злокачественные новообразования костей и суставных хрящей: остеосаркома, саркома Юинга, 2024 г.</w:t>
        </w:r>
      </w:hyperlink>
      <w:r>
        <w:rPr>
          <w:b w:val="0"/>
          <w:i/>
        </w:rPr>
        <w:t xml:space="preserve"> </w:t>
      </w:r>
      <w:hyperlink r:id="rId26">
        <w:r>
          <w:rPr>
            <w:color w:val="173C49"/>
            <w:u w:val="single"/>
          </w:rPr>
          <w:t>(1)</w:t>
        </w:r>
      </w:hyperlink>
    </w:p>
    <w:p>
      <w:pPr>
        <w:ind w:left="504"/>
      </w:pPr>
      <w:r>
        <w:rPr>
          <w:b w:val="0"/>
          <w:i/>
        </w:rPr>
        <w:t>Всем пациентам с подозрением на ЗНО кости или верифицированным ЗНО кости при первичном обследовании, при оценке ответа на проведенную терапию в процессе лечения и в динамическом наблюдении, а также при подозрении на рецидив заболевания рекомендовано выполнение магнитно-резонансной томографии (МРТ) пораженной области с контрастным усилением</w:t>
        <w:br/>
        <w:br/>
      </w:r>
      <w:hyperlink r:id="rId21">
        <w:r>
          <w:rPr>
            <w:color w:val="173C49"/>
            <w:u w:val="single"/>
          </w:rPr>
          <w:t>Клинические рекомендации Минздрава России. Злокачественные новообразования костей и суставных хрящей: остеосаркома, саркома Юинга, 2024 г.</w:t>
        </w:r>
      </w:hyperlink>
      <w:r>
        <w:rPr>
          <w:b w:val="0"/>
          <w:i/>
        </w:rPr>
        <w:t xml:space="preserve"> </w:t>
      </w:r>
      <w:hyperlink r:id="rId27">
        <w:r>
          <w:rPr>
            <w:color w:val="173C49"/>
            <w:u w:val="single"/>
          </w:rPr>
          <w:t>(1)</w:t>
        </w:r>
      </w:hyperlink>
    </w:p>
    <w:p>
      <w:pPr>
        <w:ind w:left="504"/>
      </w:pPr>
      <w:r>
        <w:rPr>
          <w:b w:val="0"/>
          <w:i/>
        </w:rPr>
        <w:t>Исследование КТ первичного очага может предоставить дополнительную информацию о характере образования (наличия кальцинации, периостита и деструкции кортикального слоя кости).</w:t>
        <w:br/>
        <w:br/>
        <w:t>КТ и МРТ исследования не исключают и не заменяют друг друга. Для точной оценки костной патологии, оценки распространенности опухоли и постановки рентгенологического дифференциально-диагностического ряда оптимальным является комплексное обследование пациента с помощью сочетания МРТ и КТ исследований.</w:t>
        <w:br/>
        <w:br/>
        <w:t>Исследование КТ является неотъемлемой частью предоперационного планирования, планирования реконструктивного оперативного вмешательства, при возможности его выполнения, а также изготовления индивидуального импланта.</w:t>
        <w:br/>
        <w:br/>
      </w:r>
      <w:hyperlink r:id="rId21">
        <w:r>
          <w:rPr>
            <w:color w:val="173C49"/>
            <w:u w:val="single"/>
          </w:rPr>
          <w:t>Клинические рекомендации Минздрава России. Злокачественные новообразования костей и суставных хрящей: остеосаркома, саркома Юинга, 2024 г.</w:t>
        </w:r>
      </w:hyperlink>
      <w:r>
        <w:rPr>
          <w:b w:val="0"/>
          <w:i/>
        </w:rPr>
        <w:t xml:space="preserve"> </w:t>
      </w:r>
      <w:hyperlink r:id="rId28">
        <w:r>
          <w:rPr>
            <w:color w:val="173C49"/>
            <w:u w:val="single"/>
          </w:rPr>
          <w:t>(1)</w:t>
        </w:r>
      </w:hyperlink>
    </w:p>
    <w:p>
      <w:pPr>
        <w:ind w:left="504"/>
      </w:pPr>
      <w:r>
        <w:rPr>
          <w:b w:val="0"/>
          <w:i/>
        </w:rPr>
        <w:t>Всем пациентам с подозрением на ЗНО кости или выявленным ЗНО кости при первичном обследовании, при оценке ответа на проведенную терапию в процессе лечения и в динамическом наблюдении, а также при подозрении на рецидив заболевания рекомендовано выполнение КТ органов грудной полости с внутривенным болюсным контрастированием для исключения метастатического поражения легких</w:t>
        <w:br/>
        <w:br/>
      </w:r>
      <w:hyperlink r:id="rId21">
        <w:r>
          <w:rPr>
            <w:color w:val="173C49"/>
            <w:u w:val="single"/>
          </w:rPr>
          <w:t>Клинические рекомендации Минздрава России. Злокачественные новообразования костей и суставных хрящей: остеосаркома, саркома Юинга, 2024 г.</w:t>
        </w:r>
      </w:hyperlink>
      <w:r>
        <w:rPr>
          <w:b w:val="0"/>
          <w:i/>
        </w:rPr>
        <w:t xml:space="preserve"> </w:t>
      </w:r>
      <w:hyperlink r:id="rId29">
        <w:r>
          <w:rPr>
            <w:color w:val="173C49"/>
            <w:u w:val="single"/>
          </w:rPr>
          <w:t>(1)</w:t>
        </w:r>
      </w:hyperlink>
    </w:p>
    <w:p>
      <w:pPr>
        <w:pStyle w:val="Heading2"/>
      </w:pPr>
      <w:r>
        <w:t>2. Диагноз</w:t>
      </w:r>
    </w:p>
    <w:p>
      <w:pPr>
        <w:pStyle w:val="Heading3"/>
        <w:keepNext/>
      </w:pPr>
      <w:r>
        <w:rPr>
          <w:b/>
          <w:color w:val="173C49"/>
        </w:rPr>
        <w:t>Вопрос 3.</w:t>
      </w:r>
    </w:p>
    <w:p>
      <w:pPr>
        <w:keepNext/>
      </w:pPr>
      <w:r>
        <w:rPr>
          <w:b w:val="0"/>
          <w:i w:val="0"/>
        </w:rPr>
        <w:t>Предполагаемым основным диагнозом у данного пациента является</w:t>
      </w:r>
    </w:p>
    <w:p>
      <w:pPr>
        <w:tabs>
          <w:tab w:pos="490" w:val="left"/>
        </w:tabs>
        <w:spacing w:after="60"/>
        <w:ind w:left="490" w:hanging="490"/>
      </w:pPr>
      <w:r>
        <w:rPr>
          <w:b/>
        </w:rPr>
        <w:t>1.</w:t>
      </w:r>
      <w:r>
        <w:tab/>
      </w:r>
      <w:r>
        <w:rPr>
          <w:b w:val="0"/>
          <w:i w:val="0"/>
        </w:rPr>
        <w:t>остеомиелит левой подвздошной кости</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5"/>
                    <a:stretch>
                      <a:fillRect/>
                    </a:stretch>
                  </pic:blipFill>
                  <pic:spPr>
                    <a:xfrm>
                      <a:off x="0" y="0"/>
                      <a:ext cx="214884" cy="214884"/>
                    </a:xfrm>
                    <a:prstGeom prst="rect"/>
                  </pic:spPr>
                </pic:pic>
              </a:graphicData>
            </a:graphic>
          </wp:inline>
        </w:drawing>
      </w:r>
      <w:r>
        <w:tab/>
      </w:r>
      <w:r>
        <w:rPr>
          <w:b w:val="0"/>
          <w:i w:val="0"/>
        </w:rPr>
        <w:t>саркома Юинга левой подвздошной кости</w:t>
      </w:r>
    </w:p>
    <w:p>
      <w:pPr>
        <w:tabs>
          <w:tab w:pos="490" w:val="left"/>
        </w:tabs>
        <w:spacing w:after="60"/>
        <w:ind w:left="490" w:hanging="490"/>
      </w:pPr>
      <w:r>
        <w:rPr>
          <w:b/>
        </w:rPr>
        <w:t>3.</w:t>
      </w:r>
      <w:r>
        <w:tab/>
      </w:r>
      <w:r>
        <w:rPr>
          <w:b w:val="0"/>
          <w:i w:val="0"/>
        </w:rPr>
        <w:t>лимфома мягких тканей области таза</w:t>
      </w:r>
    </w:p>
    <w:p>
      <w:pPr>
        <w:tabs>
          <w:tab w:pos="490" w:val="left"/>
        </w:tabs>
        <w:spacing w:after="60"/>
        <w:ind w:left="490" w:hanging="490"/>
      </w:pPr>
      <w:r>
        <w:rPr>
          <w:b/>
        </w:rPr>
        <w:t>4.</w:t>
      </w:r>
      <w:r>
        <w:tab/>
      </w:r>
      <w:r>
        <w:rPr>
          <w:b w:val="0"/>
          <w:i w:val="0"/>
        </w:rPr>
        <w:t>мягкотканная саркома подвздошной области</w:t>
      </w:r>
    </w:p>
    <w:p>
      <w:pPr>
        <w:ind w:left="288"/>
      </w:pPr>
      <w:r>
        <w:rPr>
          <w:b/>
          <w:color w:val="173C49"/>
        </w:rPr>
        <w:t xml:space="preserve">Правильный ответ: </w:t>
      </w:r>
      <w:r>
        <w:rPr>
          <w:b/>
          <w:i w:val="0"/>
        </w:rPr>
        <w:t>2 — саркома Юинга левой подвздошной кости</w:t>
      </w:r>
    </w:p>
    <w:p>
      <w:pPr>
        <w:ind w:left="504"/>
      </w:pPr>
      <w:r>
        <w:rPr>
          <w:b w:val="0"/>
          <w:i/>
        </w:rPr>
        <w:t>Диагноз может быть предположен с учетом возраста пациента, клинической и рентгенологической картины.</w:t>
        <w:br/>
        <w:br/>
        <w:t>Клиническая картина при злокачественных новообразованиях костей обусловлена анатомической локализацией первичного очага и его размерами, степенью инвазии и компрессии прилежащих органов и тканей, а также анатомической локализацией метастазов. В исключительно редких случаях, заболевание протекает бессимптомно и может являться случайной находкой при проведении диспансерного наблюдения или обследования по поводу другого заболевания.</w:t>
        <w:br/>
        <w:br/>
        <w:t>Как правило, ведущим симптомом является боль в проекции объемного образования, к которой в динамике может присоединиться припухлость, нарушение движения в прилежащем суставе, если образование расположено в костях конечностей. В 10-15% случаев у пациентов встречается патологический перелом на уровне объемного образования.</w:t>
        <w:br/>
        <w:br/>
        <w:t>Критерии установления диагноза/состояния: диагноз устанавливается на основании патогномоничных данных:</w:t>
        <w:br/>
        <w:br/>
        <w:t>. анамнестические данные;</w:t>
        <w:br/>
        <w:t>. физикальное обследование;</w:t>
        <w:br/>
        <w:t>. лабораторные исследования;</w:t>
        <w:br/>
        <w:t>. инструментальное обследование;</w:t>
        <w:br/>
        <w:t>. гистологическое исследование;</w:t>
        <w:br/>
        <w:t>. цитогенетическое исследование.</w:t>
        <w:br/>
        <w:br/>
      </w:r>
      <w:hyperlink r:id="rId21">
        <w:r>
          <w:rPr>
            <w:color w:val="173C49"/>
            <w:u w:val="single"/>
          </w:rPr>
          <w:t>Клинические рекомендации Минздрава России. Злокачественные новообразования костей и суставных хрящей: остеосаркома, саркома Юинга, 2024 г.</w:t>
        </w:r>
      </w:hyperlink>
      <w:r>
        <w:rPr>
          <w:b w:val="0"/>
          <w:i/>
        </w:rPr>
        <w:t xml:space="preserve"> </w:t>
      </w:r>
      <w:hyperlink r:id="rId30">
        <w:r>
          <w:rPr>
            <w:color w:val="173C49"/>
            <w:u w:val="single"/>
          </w:rPr>
          <w:t>(1)</w:t>
        </w:r>
      </w:hyperlink>
      <w:r>
        <w:rPr>
          <w:b w:val="0"/>
          <w:i/>
        </w:rPr>
        <w:t xml:space="preserve"> </w:t>
      </w:r>
      <w:hyperlink r:id="rId31">
        <w:r>
          <w:rPr>
            <w:color w:val="173C49"/>
            <w:u w:val="single"/>
          </w:rPr>
          <w:t>(2)</w:t>
        </w:r>
      </w:hyperlink>
    </w:p>
    <w:p>
      <w:pPr>
        <w:pStyle w:val="Heading2"/>
      </w:pPr>
      <w:r>
        <w:t>3. Лечение</w:t>
      </w:r>
    </w:p>
    <w:p>
      <w:pPr>
        <w:pStyle w:val="Heading3"/>
        <w:keepNext/>
      </w:pPr>
      <w:r>
        <w:rPr>
          <w:b/>
          <w:color w:val="173C49"/>
        </w:rPr>
        <w:t>Вопрос 4.</w:t>
      </w:r>
    </w:p>
    <w:p>
      <w:pPr>
        <w:keepNext/>
      </w:pPr>
      <w:r>
        <w:rPr>
          <w:b w:val="0"/>
          <w:i w:val="0"/>
        </w:rPr>
        <w:t>Тактикой дальнейшего ведения пациента при наличии у него саркомы Юинга будет проведение</w:t>
      </w:r>
    </w:p>
    <w:p>
      <w:pPr>
        <w:tabs>
          <w:tab w:pos="490" w:val="left"/>
        </w:tabs>
        <w:spacing w:after="60"/>
        <w:ind w:left="490" w:hanging="490"/>
      </w:pPr>
      <w:r>
        <w:rPr>
          <w:b/>
        </w:rPr>
        <w:t>1.</w:t>
      </w:r>
      <w:r>
        <w:tab/>
      </w:r>
      <w:r>
        <w:rPr>
          <w:b w:val="0"/>
          <w:i w:val="0"/>
        </w:rPr>
        <w:t>полихимиотерапии и хирургического лечения</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5"/>
                    <a:stretch>
                      <a:fillRect/>
                    </a:stretch>
                  </pic:blipFill>
                  <pic:spPr>
                    <a:xfrm>
                      <a:off x="0" y="0"/>
                      <a:ext cx="214884" cy="214884"/>
                    </a:xfrm>
                    <a:prstGeom prst="rect"/>
                  </pic:spPr>
                </pic:pic>
              </a:graphicData>
            </a:graphic>
          </wp:inline>
        </w:drawing>
      </w:r>
      <w:r>
        <w:tab/>
      </w:r>
      <w:r>
        <w:rPr>
          <w:b w:val="0"/>
          <w:i w:val="0"/>
        </w:rPr>
        <w:t>полихимиотерапии, лучевой терапии, хирургического лечения</w:t>
      </w:r>
    </w:p>
    <w:p>
      <w:pPr>
        <w:tabs>
          <w:tab w:pos="490" w:val="left"/>
        </w:tabs>
        <w:spacing w:after="60"/>
        <w:ind w:left="490" w:hanging="490"/>
      </w:pPr>
      <w:r>
        <w:rPr>
          <w:b/>
        </w:rPr>
        <w:t>3.</w:t>
      </w:r>
      <w:r>
        <w:tab/>
      </w:r>
      <w:r>
        <w:rPr>
          <w:b w:val="0"/>
          <w:i w:val="0"/>
        </w:rPr>
        <w:t>лучевой терапии и полихимиотерапии</w:t>
      </w:r>
    </w:p>
    <w:p>
      <w:pPr>
        <w:tabs>
          <w:tab w:pos="490" w:val="left"/>
        </w:tabs>
        <w:spacing w:after="60"/>
        <w:ind w:left="490" w:hanging="490"/>
      </w:pPr>
      <w:r>
        <w:rPr>
          <w:b/>
        </w:rPr>
        <w:t>4.</w:t>
      </w:r>
      <w:r>
        <w:tab/>
      </w:r>
      <w:r>
        <w:rPr>
          <w:b w:val="0"/>
          <w:i w:val="0"/>
        </w:rPr>
        <w:t>хирургического лечения и лучевой терапии</w:t>
      </w:r>
    </w:p>
    <w:p>
      <w:pPr>
        <w:ind w:left="288"/>
      </w:pPr>
      <w:r>
        <w:rPr>
          <w:b/>
          <w:color w:val="173C49"/>
        </w:rPr>
        <w:t xml:space="preserve">Правильный ответ: </w:t>
      </w:r>
      <w:r>
        <w:rPr>
          <w:b/>
          <w:i w:val="0"/>
        </w:rPr>
        <w:t>2 — полихимиотерапии, лучевой терапии, хирургического лечения</w:t>
      </w:r>
    </w:p>
    <w:p>
      <w:pPr>
        <w:ind w:left="504"/>
      </w:pPr>
      <w:r>
        <w:rPr>
          <w:b w:val="0"/>
          <w:i/>
        </w:rPr>
        <w:t>Всем пациентам с cаркомой Юинга и другими недифференцированными мелкокруглоклеточными саркомами костей рекомендовано комплексное лечение, которое включает в себя неоадъювантную (предоперационную) полихимиотерапию, оперативное вмешательство и адъювантную (послеоперационную) ПХТ, а также лучевую терапию.</w:t>
        <w:br/>
        <w:br/>
      </w:r>
      <w:hyperlink r:id="rId21">
        <w:r>
          <w:rPr>
            <w:color w:val="173C49"/>
            <w:u w:val="single"/>
          </w:rPr>
          <w:t>Клинические рекомендации Минздрава России. Злокачественные новообразования костей и суставных хрящей: остеосаркома, саркома Юинга, 2024 г.</w:t>
        </w:r>
      </w:hyperlink>
      <w:r>
        <w:rPr>
          <w:b w:val="0"/>
          <w:i/>
        </w:rPr>
        <w:t xml:space="preserve"> </w:t>
      </w:r>
      <w:hyperlink r:id="rId32">
        <w:r>
          <w:rPr>
            <w:color w:val="173C49"/>
            <w:u w:val="single"/>
          </w:rPr>
          <w:t>(1)</w:t>
        </w:r>
      </w:hyperlink>
    </w:p>
    <w:p>
      <w:pPr>
        <w:pStyle w:val="Heading3"/>
        <w:keepNext/>
      </w:pPr>
      <w:r>
        <w:rPr>
          <w:b/>
          <w:color w:val="173C49"/>
        </w:rPr>
        <w:t>Вопрос 5.</w:t>
      </w:r>
    </w:p>
    <w:p>
      <w:pPr>
        <w:keepNext/>
      </w:pPr>
      <w:r>
        <w:rPr>
          <w:b w:val="0"/>
          <w:i w:val="0"/>
        </w:rPr>
        <w:t>Для морфологического подтверждения диагноза данному ребенку необходимо провести</w:t>
      </w:r>
    </w:p>
    <w:p>
      <w:pPr>
        <w:tabs>
          <w:tab w:pos="490" w:val="left"/>
        </w:tabs>
        <w:spacing w:after="60"/>
        <w:ind w:left="490" w:hanging="490"/>
      </w:pPr>
      <w:r>
        <w:rPr>
          <w:b/>
        </w:rPr>
        <w:t>1.</w:t>
      </w:r>
      <w:r>
        <w:tab/>
      </w:r>
      <w:r>
        <w:rPr>
          <w:b w:val="0"/>
          <w:i w:val="0"/>
        </w:rPr>
        <w:t>аспирационную биопсию костного мозга из четырех точек с цитологическим исследованием костного мозга</w:t>
      </w:r>
    </w:p>
    <w:p>
      <w:pPr>
        <w:tabs>
          <w:tab w:pos="490" w:val="left"/>
        </w:tabs>
        <w:spacing w:after="60"/>
        <w:ind w:left="490" w:hanging="490"/>
      </w:pPr>
      <w:r>
        <w:rPr>
          <w:b/>
        </w:rPr>
        <w:t>2.</w:t>
      </w:r>
      <w:r>
        <w:tab/>
      </w:r>
      <w:r>
        <w:rPr>
          <w:b w:val="0"/>
          <w:i w:val="0"/>
        </w:rPr>
        <w:t>сцинтиграфию с 123I- МЙБГ</w:t>
      </w:r>
    </w:p>
    <w:p>
      <w:pPr>
        <w:tabs>
          <w:tab w:pos="490" w:val="left"/>
        </w:tabs>
        <w:spacing w:after="60"/>
        <w:ind w:left="490" w:hanging="490"/>
      </w:pPr>
      <w:r>
        <w:rPr>
          <w:b/>
        </w:rPr>
        <w:t>3.</w:t>
      </w:r>
      <w:r>
        <w:tab/>
      </w:r>
      <w:r>
        <w:rPr>
          <w:b w:val="0"/>
          <w:i w:val="0"/>
        </w:rPr>
        <w:t>люмбальную пункцию для цитологического исследования ликвора</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биопсию опухоли для определения её гистогенеза</w:t>
      </w:r>
    </w:p>
    <w:p>
      <w:pPr>
        <w:ind w:left="288"/>
      </w:pPr>
      <w:r>
        <w:rPr>
          <w:b/>
          <w:color w:val="173C49"/>
        </w:rPr>
        <w:t xml:space="preserve">Правильный ответ: </w:t>
      </w:r>
      <w:r>
        <w:rPr>
          <w:b/>
          <w:i w:val="0"/>
        </w:rPr>
        <w:t>4 — биопсию опухоли для определения её гистогенеза</w:t>
      </w:r>
    </w:p>
    <w:p>
      <w:pPr>
        <w:ind w:left="504"/>
      </w:pPr>
      <w:r>
        <w:rPr>
          <w:b w:val="0"/>
          <w:i/>
        </w:rPr>
        <w:t>Всем пациентам с подозрением на ЗНО кости по результатам клинического осмотра и инструментальных методов исследования рекомендована биопсия кости (объемного образования) с последующим патолого-анатомическим исследованием биопсийного (операционного) материала костной ткани, в том числе с применением иммуногистохимических и, при необходимости, цитогенетических методов для верификации диагноза.</w:t>
        <w:br/>
        <w:br/>
      </w:r>
      <w:hyperlink r:id="rId21">
        <w:r>
          <w:rPr>
            <w:color w:val="173C49"/>
            <w:u w:val="single"/>
          </w:rPr>
          <w:t>Клинические рекомендации Минздрава России. Злокачественные новообразования костей и суставных хрящей: остеосаркома, саркома Юинга, 2024 г.</w:t>
        </w:r>
      </w:hyperlink>
      <w:r>
        <w:rPr>
          <w:b w:val="0"/>
          <w:i/>
        </w:rPr>
        <w:t xml:space="preserve"> </w:t>
      </w:r>
      <w:hyperlink r:id="rId33">
        <w:r>
          <w:rPr>
            <w:color w:val="173C49"/>
            <w:u w:val="single"/>
          </w:rPr>
          <w:t>(1)</w:t>
        </w:r>
      </w:hyperlink>
    </w:p>
    <w:p>
      <w:pPr>
        <w:pStyle w:val="Heading3"/>
        <w:keepNext/>
      </w:pPr>
      <w:r>
        <w:rPr>
          <w:b/>
          <w:color w:val="173C49"/>
        </w:rPr>
        <w:t>Вопрос 6.</w:t>
      </w:r>
    </w:p>
    <w:p>
      <w:pPr>
        <w:keepNext/>
      </w:pPr>
      <w:r>
        <w:rPr>
          <w:b w:val="0"/>
          <w:i w:val="0"/>
        </w:rPr>
        <w:t>Стандартом при выполнении биопсии опухоли кости является</w:t>
      </w:r>
    </w:p>
    <w:p>
      <w:pPr>
        <w:tabs>
          <w:tab w:pos="490" w:val="left"/>
        </w:tabs>
        <w:spacing w:after="60"/>
        <w:ind w:left="490" w:hanging="490"/>
      </w:pPr>
      <w:r>
        <w:rPr>
          <w:b/>
        </w:rPr>
        <w:t>1.</w:t>
      </w:r>
      <w:r>
        <w:tab/>
      </w:r>
      <w:r>
        <w:rPr>
          <w:b w:val="0"/>
          <w:i w:val="0"/>
        </w:rPr>
        <w:t>костное окно увеличивается в поперечном направлении</w:t>
      </w:r>
    </w:p>
    <w:p>
      <w:pPr>
        <w:tabs>
          <w:tab w:pos="490" w:val="left"/>
        </w:tabs>
        <w:spacing w:after="60"/>
        <w:ind w:left="490" w:hanging="490"/>
      </w:pPr>
      <w:r>
        <w:rPr>
          <w:b/>
        </w:rPr>
        <w:t>2.</w:t>
      </w:r>
      <w:r>
        <w:tab/>
      </w:r>
      <w:r>
        <w:rPr>
          <w:b w:val="0"/>
          <w:i w:val="0"/>
        </w:rPr>
        <w:t>проведение биопсии под контролем УЗИ</w:t>
      </w:r>
    </w:p>
    <w:p>
      <w:pPr>
        <w:tabs>
          <w:tab w:pos="490" w:val="left"/>
        </w:tabs>
        <w:spacing w:after="60"/>
        <w:ind w:left="490" w:hanging="490"/>
      </w:pPr>
      <w:r>
        <w:rPr>
          <w:b/>
        </w:rPr>
        <w:t>3.</w:t>
      </w:r>
      <w:r>
        <w:tab/>
      </w:r>
      <w:r>
        <w:rPr>
          <w:b w:val="0"/>
          <w:i w:val="0"/>
        </w:rPr>
        <w:t>проведение биопсии хирургом или травматологом под местной анестезией</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необходимость исключить работу инструментом за пределами биопсийного тракта</w:t>
      </w:r>
    </w:p>
    <w:p>
      <w:pPr>
        <w:ind w:left="288"/>
      </w:pPr>
      <w:r>
        <w:rPr>
          <w:b/>
          <w:color w:val="173C49"/>
        </w:rPr>
        <w:t xml:space="preserve">Правильный ответ: </w:t>
      </w:r>
      <w:r>
        <w:rPr>
          <w:b/>
          <w:i w:val="0"/>
        </w:rPr>
        <w:t>4 — необходимость исключить работу инструментом за пределами биопсийного тракта</w:t>
      </w:r>
    </w:p>
    <w:p>
      <w:pPr>
        <w:ind w:left="504"/>
      </w:pPr>
      <w:r>
        <w:rPr>
          <w:b w:val="0"/>
          <w:i/>
        </w:rPr>
        <w:t>Cтандарты выполнения биопсии:</w:t>
        <w:br/>
        <w:br/>
        <w:t>Планирование места биопсии, по возможности, должно проводиться на междисциплинарном совещании при участии врача-онколога (детского онколога), врача-травматолога-ортопеда, врача-патологоанатома и врача-радиотерапевта или врача-радиолога. Это необходимо для выбора наиболее репрезентативного очага .</w:t>
        <w:br/>
        <w:br/>
        <w:t>Биопсия должна выполняться в специализированном онкологическом стационаре, при возможности, в операционной, оснащенной С-дугой (ЭОП), под общей анестезией. Допустимо проведение биопсии в региональном центре – областной больнице (медучреждение 2-го уровня) по согласованию с федеральным центром (локализация доступа, объем материала, вид биопсии), где в дальнейшем будет проводиться этап локального контроля – удаление опухоли.</w:t>
        <w:br/>
        <w:br/>
        <w:t>При выполнении биопсии должен учитываться будущий операционный доступ (операция по удалению опухоли), на конечностях разрез должен быть продольный, при постановке дренажной системы типа Редон его точка выхода должна быть на одной линии с разрезом. По возможности, разрез должен быть не более 4-5 см.</w:t>
        <w:br/>
        <w:br/>
        <w:t>Техника проведения должна быть максимально аккуратной и щадящей. Необходимо исключить работу инструментом за пределами биопсийного тракта, в целях предотвращения контаминации опухолевыми клетками окружающих тканей. Не допускать повреждения анатомических границ между компартментами.</w:t>
        <w:br/>
        <w:br/>
        <w:t>Забор материала лучше делать скальпелем или сосудистыми ножницами, чтобы избежать его повреждения.</w:t>
        <w:br/>
        <w:br/>
        <w:t>При необходимости забора костной ткани – выполняется остеотомия в виде овала или прямоугольника с закругленными краями. Форма квадрата, прямоугольника, круг – должны быть исключены. При необходимости увеличения костного окна, в целях сохранения опороспособности кости, окно увеличивается в продольном направлении, ни в коем случае не в поперечном.</w:t>
        <w:br/>
        <w:br/>
        <w:t>Количество забранного материала должно быть достаточным для проведения всех видов гистологического исследования (при необходимости в операционную приглашается врач-патологоанатом для визуальной оценки материала), проведения цитогенетического исследования биопсийного (операционного) материала, для его консервации в био-банке, а также для архива и на случай необходимости пересмотра в референс-центрах .</w:t>
        <w:br/>
        <w:br/>
        <w:t>При дифференциальном диагнозе с остеомиелитом необходимо дополнительно часть материала отправлять на бактериологическое исследование.</w:t>
        <w:br/>
        <w:br/>
        <w:t>Как правило, биопсии проводят без наложения жгута, так как это может помешать проведению адекватного гемостаза. Если жгут все же используется, то его категорически нельзя накладывать на область, пораженную опухолью. Снимать его необходимо до ушивания раны, с целью проведения гемостаза</w:t>
        <w:br/>
        <w:br/>
      </w:r>
      <w:hyperlink r:id="rId21">
        <w:r>
          <w:rPr>
            <w:color w:val="173C49"/>
            <w:u w:val="single"/>
          </w:rPr>
          <w:t>Клинические рекомендации Минздрава России. Злокачественные новообразования костей и суставных хрящей: остеосаркома, саркома Юинга, 2024 г.</w:t>
        </w:r>
      </w:hyperlink>
      <w:r>
        <w:rPr>
          <w:b w:val="0"/>
          <w:i/>
        </w:rPr>
        <w:t xml:space="preserve"> </w:t>
      </w:r>
      <w:hyperlink r:id="rId34">
        <w:r>
          <w:rPr>
            <w:color w:val="173C49"/>
            <w:u w:val="single"/>
          </w:rPr>
          <w:t>(1)</w:t>
        </w:r>
      </w:hyperlink>
    </w:p>
    <w:p>
      <w:pPr>
        <w:pStyle w:val="Heading3"/>
        <w:keepNext/>
      </w:pPr>
      <w:r>
        <w:rPr>
          <w:b/>
          <w:color w:val="173C49"/>
        </w:rPr>
        <w:t>Вопрос 7.</w:t>
      </w:r>
    </w:p>
    <w:p>
      <w:pPr>
        <w:keepNext/>
      </w:pPr>
      <w:r>
        <w:rPr>
          <w:b w:val="0"/>
          <w:i w:val="0"/>
        </w:rPr>
        <w:t>Для формирования полного диагноза необходимо провести</w:t>
      </w:r>
    </w:p>
    <w:p>
      <w:pPr>
        <w:tabs>
          <w:tab w:pos="490" w:val="left"/>
        </w:tabs>
        <w:spacing w:after="60"/>
        <w:ind w:left="490" w:hanging="490"/>
      </w:pPr>
      <w:r>
        <w:rPr>
          <w:b/>
        </w:rPr>
        <w:t>1.</w:t>
      </w:r>
      <w:r>
        <w:tab/>
      </w:r>
      <w:r>
        <w:rPr>
          <w:b w:val="0"/>
          <w:i w:val="0"/>
        </w:rPr>
        <w:t>ПЦР ДНК циркулирующих опухолевых клеток опухоли в крови</w:t>
      </w:r>
    </w:p>
    <w:p>
      <w:pPr>
        <w:tabs>
          <w:tab w:pos="490" w:val="left"/>
        </w:tabs>
        <w:spacing w:after="60"/>
        <w:ind w:left="490" w:hanging="490"/>
      </w:pPr>
      <w:r>
        <w:rPr>
          <w:b/>
        </w:rPr>
        <w:t>2.</w:t>
      </w:r>
      <w:r>
        <w:tab/>
      </w:r>
      <w:r>
        <w:rPr>
          <w:b w:val="0"/>
          <w:i w:val="0"/>
        </w:rPr>
        <w:t>МРТ всего тела</w:t>
      </w:r>
    </w:p>
    <w:p>
      <w:pPr>
        <w:tabs>
          <w:tab w:pos="490" w:val="left"/>
        </w:tabs>
        <w:spacing w:after="60"/>
        <w:ind w:left="490" w:hanging="490"/>
      </w:pPr>
      <w:r>
        <w:rPr>
          <w:b/>
        </w:rPr>
        <w:t>3.</w:t>
      </w:r>
      <w:r>
        <w:tab/>
      </w:r>
      <w:r>
        <w:rPr>
          <w:b w:val="0"/>
          <w:i w:val="0"/>
        </w:rPr>
        <w:t>позитронно-эмиссионную томографию головного мозга с тирозином</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молекулярно-генетическое исследование опухоли</w:t>
      </w:r>
    </w:p>
    <w:p>
      <w:pPr>
        <w:ind w:left="288"/>
      </w:pPr>
      <w:r>
        <w:rPr>
          <w:b/>
          <w:color w:val="173C49"/>
        </w:rPr>
        <w:t xml:space="preserve">Правильный ответ: </w:t>
      </w:r>
      <w:r>
        <w:rPr>
          <w:b/>
          <w:i w:val="0"/>
        </w:rPr>
        <w:t>4 — молекулярно-генетическое исследование опухоли</w:t>
      </w:r>
    </w:p>
    <w:p>
      <w:pPr>
        <w:ind w:left="504"/>
      </w:pPr>
      <w:r>
        <w:rPr>
          <w:b w:val="0"/>
          <w:i/>
        </w:rPr>
        <w:t>Всем пациентам с подозрением на саркому Юинга или другую недифференцированную мелкокруглоклеточную, высокодифференцированную центральную остесаркому, хондросаркому показано выполнение молекулярно-генетических исследований в зависимости от подозреваемого типа опухоли</w:t>
        <w:br/>
        <w:br/>
      </w:r>
      <w:hyperlink r:id="rId21">
        <w:r>
          <w:rPr>
            <w:color w:val="173C49"/>
            <w:u w:val="single"/>
          </w:rPr>
          <w:t>Клинические рекомендации Минздрава России. Злокачественные новообразования костей и суставных хрящей: остеосаркома, саркома Юинга, 2024 г.</w:t>
        </w:r>
      </w:hyperlink>
      <w:r>
        <w:rPr>
          <w:b w:val="0"/>
          <w:i/>
        </w:rPr>
        <w:t xml:space="preserve"> </w:t>
      </w:r>
      <w:hyperlink r:id="rId35">
        <w:r>
          <w:rPr>
            <w:color w:val="173C49"/>
            <w:u w:val="single"/>
          </w:rPr>
          <w:t>(1)</w:t>
        </w:r>
      </w:hyperlink>
    </w:p>
    <w:p>
      <w:pPr>
        <w:pStyle w:val="Heading2"/>
      </w:pPr>
      <w:r>
        <w:t>4. Диагноз</w:t>
      </w:r>
    </w:p>
    <w:p>
      <w:pPr>
        <w:pStyle w:val="Heading3"/>
        <w:keepNext/>
      </w:pPr>
      <w:r>
        <w:rPr>
          <w:b/>
          <w:color w:val="173C49"/>
        </w:rPr>
        <w:t>Вопрос 8.</w:t>
      </w:r>
    </w:p>
    <w:p>
      <w:pPr>
        <w:keepNext/>
      </w:pPr>
      <w:r>
        <w:rPr>
          <w:b w:val="0"/>
          <w:i w:val="0"/>
        </w:rPr>
        <w:t>Учитывая результаты исследования, окончательным диагнозом данного пациента является: Саркома Юинга левой подвздошной кости +_____________+ стадия по классификации AJCC 8-го пересмотра</w:t>
      </w:r>
    </w:p>
    <w:p>
      <w:pPr>
        <w:tabs>
          <w:tab w:pos="490" w:val="left"/>
        </w:tabs>
        <w:spacing w:after="60"/>
        <w:ind w:left="490" w:hanging="490"/>
      </w:pPr>
      <w:r>
        <w:rPr>
          <w:b/>
        </w:rPr>
        <w:t>1.</w:t>
      </w:r>
      <w:r>
        <w:tab/>
      </w:r>
      <w:r>
        <w:rPr>
          <w:b w:val="0"/>
          <w:i w:val="0"/>
        </w:rPr>
        <w:t>Т2N0M0, IIB</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5"/>
                    <a:stretch>
                      <a:fillRect/>
                    </a:stretch>
                  </pic:blipFill>
                  <pic:spPr>
                    <a:xfrm>
                      <a:off x="0" y="0"/>
                      <a:ext cx="214884" cy="214884"/>
                    </a:xfrm>
                    <a:prstGeom prst="rect"/>
                  </pic:spPr>
                </pic:pic>
              </a:graphicData>
            </a:graphic>
          </wp:inline>
        </w:drawing>
      </w:r>
      <w:r>
        <w:tab/>
      </w:r>
      <w:r>
        <w:rPr>
          <w:b w:val="0"/>
          <w:i w:val="0"/>
        </w:rPr>
        <w:t>Т3bN0M0, III</w:t>
      </w:r>
    </w:p>
    <w:p>
      <w:pPr>
        <w:tabs>
          <w:tab w:pos="490" w:val="left"/>
        </w:tabs>
        <w:spacing w:after="60"/>
        <w:ind w:left="490" w:hanging="490"/>
      </w:pPr>
      <w:r>
        <w:rPr>
          <w:b/>
        </w:rPr>
        <w:t>3.</w:t>
      </w:r>
      <w:r>
        <w:tab/>
      </w:r>
      <w:r>
        <w:rPr>
          <w:b w:val="0"/>
          <w:i w:val="0"/>
        </w:rPr>
        <w:t>Т2aN1M0, IVB</w:t>
      </w:r>
    </w:p>
    <w:p>
      <w:pPr>
        <w:tabs>
          <w:tab w:pos="490" w:val="left"/>
        </w:tabs>
        <w:spacing w:after="60"/>
        <w:ind w:left="490" w:hanging="490"/>
      </w:pPr>
      <w:r>
        <w:rPr>
          <w:b/>
        </w:rPr>
        <w:t>4.</w:t>
      </w:r>
      <w:r>
        <w:tab/>
      </w:r>
      <w:r>
        <w:rPr>
          <w:b w:val="0"/>
          <w:i w:val="0"/>
        </w:rPr>
        <w:t>Т1N0M0, IB</w:t>
      </w:r>
    </w:p>
    <w:p>
      <w:pPr>
        <w:ind w:left="288"/>
      </w:pPr>
      <w:r>
        <w:rPr>
          <w:b/>
          <w:color w:val="173C49"/>
        </w:rPr>
        <w:t xml:space="preserve">Правильный ответ: </w:t>
      </w:r>
      <w:r>
        <w:rPr>
          <w:b/>
          <w:i w:val="0"/>
        </w:rPr>
        <w:t>2 — Т3bN0M0, III</w:t>
      </w:r>
    </w:p>
    <w:p>
      <w:pPr>
        <w:ind w:left="504"/>
      </w:pPr>
      <w:r>
        <w:rPr>
          <w:b w:val="0"/>
          <w:i/>
        </w:rPr>
        <w:t>Стадирование первичных злокачественных опухолей костей осуществляется в соответствии с классификацией AJCC 8-го пересмотра, основанной на гистологическом типе опухоли и степени ее дифференцировки (G), размера и локализации первичного очага (T), наличия или отсутствия поражения регионарных лимфатических узлов (N) или отдаленного метастазирования (M)</w:t>
        <w:br/>
        <w:br/>
        <w:t>T3: Образование вовлекает 2 сегмента таза с наличием ЭОК</w:t>
        <w:br/>
        <w:br/>
        <w:t>T3a: Опухоль ≤8 см в наибольшем измерении</w:t>
        <w:br/>
        <w:br/>
        <w:t>T3b: Опухоль ≥8 см в наибольшем измерении</w:t>
        <w:br/>
        <w:br/>
        <w:t>N0: Нет признаков метастатического поражения регионарных лимфатических узлов</w:t>
        <w:br/>
        <w:br/>
        <w:t>M0: Нет признаков отдаленного метастазирования</w:t>
        <w:br/>
        <w:br/>
      </w:r>
      <w:hyperlink r:id="rId21">
        <w:r>
          <w:rPr>
            <w:color w:val="173C49"/>
            <w:u w:val="single"/>
          </w:rPr>
          <w:t>Клинические рекомендации Минздрава России. Злокачественные новообразования костей и суставных хрящей: остеосаркома, саркома Юинга, 2024 г.</w:t>
        </w:r>
      </w:hyperlink>
      <w:r>
        <w:rPr>
          <w:b w:val="0"/>
          <w:i/>
        </w:rPr>
        <w:t xml:space="preserve"> </w:t>
      </w:r>
      <w:hyperlink r:id="rId36">
        <w:r>
          <w:rPr>
            <w:color w:val="173C49"/>
            <w:u w:val="single"/>
          </w:rPr>
          <w:t>(1)</w:t>
        </w:r>
      </w:hyperlink>
    </w:p>
    <w:p>
      <w:pPr>
        <w:pStyle w:val="Heading2"/>
      </w:pPr>
      <w:r>
        <w:t>5. Лечение</w:t>
      </w:r>
    </w:p>
    <w:p>
      <w:pPr>
        <w:pStyle w:val="Heading3"/>
        <w:keepNext/>
      </w:pPr>
      <w:r>
        <w:rPr>
          <w:b/>
          <w:color w:val="173C49"/>
        </w:rPr>
        <w:t>Вопрос 9.</w:t>
      </w:r>
    </w:p>
    <w:p>
      <w:pPr>
        <w:keepNext/>
      </w:pPr>
      <w:r>
        <w:rPr>
          <w:b w:val="0"/>
          <w:i w:val="0"/>
        </w:rPr>
        <w:t>Следующим после биопсии этапом ведения пациента является</w:t>
      </w:r>
    </w:p>
    <w:p>
      <w:pPr>
        <w:tabs>
          <w:tab w:pos="490" w:val="left"/>
        </w:tabs>
        <w:spacing w:after="60"/>
        <w:ind w:left="490" w:hanging="490"/>
      </w:pPr>
      <w:r>
        <w:rPr>
          <w:b/>
        </w:rPr>
        <w:t>1.</w:t>
      </w:r>
      <w:r>
        <w:tab/>
      </w:r>
      <w:r>
        <w:rPr>
          <w:b w:val="0"/>
          <w:i w:val="0"/>
        </w:rPr>
        <w:t>лучевая терапия в самостоятельном режиме</w:t>
      </w:r>
    </w:p>
    <w:p>
      <w:pPr>
        <w:tabs>
          <w:tab w:pos="490" w:val="left"/>
        </w:tabs>
        <w:spacing w:after="60"/>
        <w:ind w:left="490" w:hanging="490"/>
      </w:pPr>
      <w:r>
        <w:rPr>
          <w:b/>
        </w:rPr>
        <w:t>2.</w:t>
      </w:r>
      <w:r>
        <w:tab/>
      </w:r>
      <w:r>
        <w:rPr>
          <w:b w:val="0"/>
          <w:i w:val="0"/>
        </w:rPr>
        <w:t>хирургическое лечение</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7"/>
                    <a:stretch>
                      <a:fillRect/>
                    </a:stretch>
                  </pic:blipFill>
                  <pic:spPr>
                    <a:xfrm>
                      <a:off x="0" y="0"/>
                      <a:ext cx="214884" cy="214884"/>
                    </a:xfrm>
                    <a:prstGeom prst="rect"/>
                  </pic:spPr>
                </pic:pic>
              </a:graphicData>
            </a:graphic>
          </wp:inline>
        </w:drawing>
      </w:r>
      <w:r>
        <w:tab/>
      </w:r>
      <w:r>
        <w:rPr>
          <w:b w:val="0"/>
          <w:i w:val="0"/>
        </w:rPr>
        <w:t>предоперационная полихимиотерапия</w:t>
      </w:r>
    </w:p>
    <w:p>
      <w:pPr>
        <w:tabs>
          <w:tab w:pos="490" w:val="left"/>
        </w:tabs>
        <w:spacing w:after="60"/>
        <w:ind w:left="490" w:hanging="490"/>
      </w:pPr>
      <w:r>
        <w:rPr>
          <w:b/>
        </w:rPr>
        <w:t>4.</w:t>
      </w:r>
      <w:r>
        <w:tab/>
      </w:r>
      <w:r>
        <w:rPr>
          <w:b w:val="0"/>
          <w:i w:val="0"/>
        </w:rPr>
        <w:t>предоперационная лучевая терапия</w:t>
      </w:r>
    </w:p>
    <w:p>
      <w:pPr>
        <w:ind w:left="288"/>
      </w:pPr>
      <w:r>
        <w:rPr>
          <w:b/>
          <w:color w:val="173C49"/>
        </w:rPr>
        <w:t xml:space="preserve">Правильный ответ: </w:t>
      </w:r>
      <w:r>
        <w:rPr>
          <w:b/>
          <w:i w:val="0"/>
        </w:rPr>
        <w:t>3 — предоперационная полихимиотерапия</w:t>
      </w:r>
    </w:p>
    <w:p>
      <w:pPr>
        <w:ind w:left="504"/>
      </w:pPr>
      <w:r>
        <w:rPr>
          <w:b w:val="0"/>
          <w:i/>
        </w:rPr>
        <w:t>Всем пациентам с cаркомой Юинга и другими недифференцированными мелкокруглоклеточными саркомами костей рекомендовано комбинированное лечение, которое включает в себя неоадъювантную (предоперационную) полихимиотерапию, оперативное вмешательство и адъювантную (послеоперационную) ПХТ, а также лучевую терапию.</w:t>
        <w:br/>
        <w:br/>
        <w:t>Комплексное лечение, включающее в себя многокомпонентную ХТ, оперативное вмешательство и лучевую терапию позволило увеличить показатель общей 5-летней выживаемости до 70%.</w:t>
        <w:br/>
        <w:br/>
      </w:r>
      <w:hyperlink r:id="rId21">
        <w:r>
          <w:rPr>
            <w:color w:val="173C49"/>
            <w:u w:val="single"/>
          </w:rPr>
          <w:t>Клинические рекомендации Минздрава России. Злокачественные новообразования костей и суставных хрящей: остеосаркома, саркома Юинга, 2024 г.</w:t>
        </w:r>
      </w:hyperlink>
      <w:r>
        <w:rPr>
          <w:b w:val="0"/>
          <w:i/>
        </w:rPr>
        <w:t xml:space="preserve"> </w:t>
      </w:r>
      <w:hyperlink r:id="rId32">
        <w:r>
          <w:rPr>
            <w:color w:val="173C49"/>
            <w:u w:val="single"/>
          </w:rPr>
          <w:t>(1)</w:t>
        </w:r>
      </w:hyperlink>
    </w:p>
    <w:p>
      <w:pPr>
        <w:pStyle w:val="Heading2"/>
      </w:pPr>
      <w:r>
        <w:t>6. Вариатив</w:t>
      </w:r>
    </w:p>
    <w:p>
      <w:pPr>
        <w:pStyle w:val="Heading3"/>
        <w:keepNext/>
      </w:pPr>
      <w:r>
        <w:rPr>
          <w:b/>
          <w:color w:val="173C49"/>
        </w:rPr>
        <w:t>Вопрос 10.</w:t>
      </w:r>
    </w:p>
    <w:p>
      <w:pPr>
        <w:keepNext/>
      </w:pPr>
      <w:r>
        <w:rPr>
          <w:b w:val="0"/>
          <w:i w:val="0"/>
        </w:rPr>
        <w:t>Наиболее активными в отношении саркомы Юинга являются препараты винкристин, доксорубицин, циклофосфамид, ифосфамид и</w:t>
      </w:r>
    </w:p>
    <w:p>
      <w:pPr>
        <w:tabs>
          <w:tab w:pos="490" w:val="left"/>
        </w:tabs>
        <w:spacing w:after="60"/>
        <w:ind w:left="490" w:hanging="490"/>
      </w:pPr>
      <w:r>
        <w:rPr>
          <w:b/>
        </w:rPr>
        <w:t>1.</w:t>
      </w:r>
      <w:r>
        <w:tab/>
      </w:r>
      <w:r>
        <w:rPr>
          <w:b w:val="0"/>
          <w:i w:val="0"/>
        </w:rPr>
        <w:t>оксалиплатин</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5"/>
                    <a:stretch>
                      <a:fillRect/>
                    </a:stretch>
                  </pic:blipFill>
                  <pic:spPr>
                    <a:xfrm>
                      <a:off x="0" y="0"/>
                      <a:ext cx="214884" cy="214884"/>
                    </a:xfrm>
                    <a:prstGeom prst="rect"/>
                  </pic:spPr>
                </pic:pic>
              </a:graphicData>
            </a:graphic>
          </wp:inline>
        </w:drawing>
      </w:r>
      <w:r>
        <w:tab/>
      </w:r>
      <w:r>
        <w:rPr>
          <w:b w:val="0"/>
          <w:i w:val="0"/>
        </w:rPr>
        <w:t>этопозид</w:t>
      </w:r>
    </w:p>
    <w:p>
      <w:pPr>
        <w:tabs>
          <w:tab w:pos="490" w:val="left"/>
        </w:tabs>
        <w:spacing w:after="60"/>
        <w:ind w:left="490" w:hanging="490"/>
      </w:pPr>
      <w:r>
        <w:rPr>
          <w:b/>
        </w:rPr>
        <w:t>3.</w:t>
      </w:r>
      <w:r>
        <w:tab/>
      </w:r>
      <w:r>
        <w:rPr>
          <w:b w:val="0"/>
          <w:i w:val="0"/>
        </w:rPr>
        <w:t>винорельбин</w:t>
      </w:r>
    </w:p>
    <w:p>
      <w:pPr>
        <w:tabs>
          <w:tab w:pos="490" w:val="left"/>
        </w:tabs>
        <w:spacing w:after="60"/>
        <w:ind w:left="490" w:hanging="490"/>
      </w:pPr>
      <w:r>
        <w:rPr>
          <w:b/>
        </w:rPr>
        <w:t>4.</w:t>
      </w:r>
      <w:r>
        <w:tab/>
      </w:r>
      <w:r>
        <w:rPr>
          <w:b w:val="0"/>
          <w:i w:val="0"/>
        </w:rPr>
        <w:t>темозоломид</w:t>
      </w:r>
    </w:p>
    <w:p>
      <w:pPr>
        <w:ind w:left="288"/>
      </w:pPr>
      <w:r>
        <w:rPr>
          <w:b/>
          <w:color w:val="173C49"/>
        </w:rPr>
        <w:t xml:space="preserve">Правильный ответ: </w:t>
      </w:r>
      <w:r>
        <w:rPr>
          <w:b/>
          <w:i w:val="0"/>
        </w:rPr>
        <w:t>2 — этопозид</w:t>
      </w:r>
    </w:p>
    <w:p>
      <w:pPr>
        <w:ind w:left="504"/>
      </w:pPr>
      <w:r>
        <w:rPr>
          <w:b w:val="0"/>
          <w:i/>
        </w:rPr>
        <w:t>Комплексное лечение, включающее в себя многокомпонентную ХТ, оперативное вмешательство и лучевую терапию позволило увеличить показатель общей 5-летней выживаемости до 70%. Наиболее активными в отношении саркомы Юинга являются препараты винкристин, доксорубицин, циклофосфамид, ифосфамид, этопозид.</w:t>
        <w:br/>
        <w:br/>
        <w:t>Интенсивный режим ПХТ с интервалом в 14 дней (альтернирующие курсы VDC/IE) на сегодняшний день является предпочтительным, т.к. по результатам рандомизированных исследований позволил достичь у пациентов с локализованной формой СЮ показателя 5-летней БСВ 73% в сравнении со стандартным режимом в 21 день (65%).</w:t>
        <w:br/>
        <w:br/>
      </w:r>
      <w:hyperlink r:id="rId21">
        <w:r>
          <w:rPr>
            <w:color w:val="173C49"/>
            <w:u w:val="single"/>
          </w:rPr>
          <w:t>Клинические рекомендации Минздрава России. Злокачественные новообразования костей и суставных хрящей: остеосаркома, саркома Юинга, 2024 г.</w:t>
        </w:r>
      </w:hyperlink>
      <w:r>
        <w:rPr>
          <w:b w:val="0"/>
          <w:i/>
        </w:rPr>
        <w:t xml:space="preserve"> </w:t>
      </w:r>
      <w:hyperlink r:id="rId38">
        <w:r>
          <w:rPr>
            <w:color w:val="173C49"/>
            <w:u w:val="single"/>
          </w:rPr>
          <w:t>(1)</w:t>
        </w:r>
      </w:hyperlink>
    </w:p>
    <w:p>
      <w:pPr>
        <w:pStyle w:val="Heading3"/>
        <w:keepNext/>
      </w:pPr>
      <w:r>
        <w:rPr>
          <w:b/>
          <w:color w:val="173C49"/>
        </w:rPr>
        <w:t>Вопрос 11.</w:t>
      </w:r>
    </w:p>
    <w:p>
      <w:pPr>
        <w:keepNext/>
      </w:pPr>
      <w:r>
        <w:rPr>
          <w:b w:val="0"/>
          <w:i w:val="0"/>
        </w:rPr>
        <w:t>В первые два года диспансерного наблюдения данной пациентке показана компьютерная томография грудной клетки с частотой</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1 раз в 3 месяца</w:t>
      </w:r>
    </w:p>
    <w:p>
      <w:pPr>
        <w:tabs>
          <w:tab w:pos="490" w:val="left"/>
        </w:tabs>
        <w:spacing w:after="60"/>
        <w:ind w:left="490" w:hanging="490"/>
      </w:pPr>
      <w:r>
        <w:rPr>
          <w:b/>
        </w:rPr>
        <w:t>2.</w:t>
      </w:r>
      <w:r>
        <w:tab/>
      </w:r>
      <w:r>
        <w:rPr>
          <w:b w:val="0"/>
          <w:i w:val="0"/>
        </w:rPr>
        <w:t>каждые 3 недели</w:t>
      </w:r>
    </w:p>
    <w:p>
      <w:pPr>
        <w:tabs>
          <w:tab w:pos="490" w:val="left"/>
        </w:tabs>
        <w:spacing w:after="60"/>
        <w:ind w:left="490" w:hanging="490"/>
      </w:pPr>
      <w:r>
        <w:rPr>
          <w:b/>
        </w:rPr>
        <w:t>3.</w:t>
      </w:r>
      <w:r>
        <w:tab/>
      </w:r>
      <w:r>
        <w:rPr>
          <w:b w:val="0"/>
          <w:i w:val="0"/>
        </w:rPr>
        <w:t>1 раз в 1 месяц</w:t>
      </w:r>
    </w:p>
    <w:p>
      <w:pPr>
        <w:tabs>
          <w:tab w:pos="490" w:val="left"/>
        </w:tabs>
        <w:spacing w:after="60"/>
        <w:ind w:left="490" w:hanging="490"/>
      </w:pPr>
      <w:r>
        <w:rPr>
          <w:b/>
        </w:rPr>
        <w:t>4.</w:t>
      </w:r>
      <w:r>
        <w:tab/>
      </w:r>
      <w:r>
        <w:rPr>
          <w:b w:val="0"/>
          <w:i w:val="0"/>
        </w:rPr>
        <w:t>1 раз в год</w:t>
      </w:r>
    </w:p>
    <w:p>
      <w:pPr>
        <w:ind w:left="288"/>
      </w:pPr>
      <w:r>
        <w:rPr>
          <w:b/>
          <w:color w:val="173C49"/>
        </w:rPr>
        <w:t xml:space="preserve">Правильный ответ: </w:t>
      </w:r>
      <w:r>
        <w:rPr>
          <w:b/>
          <w:i w:val="0"/>
        </w:rPr>
        <w:t>1 — 1 раз в 3 месяца</w:t>
      </w:r>
    </w:p>
    <w:p>
      <w:pPr>
        <w:ind w:left="504"/>
      </w:pPr>
      <w:r>
        <w:rPr>
          <w:b w:val="0"/>
          <w:i/>
        </w:rPr>
        <w:t>КТ органов грудной полости с внутривенным болюсным контрастированием 1 раз в 3 месяца в течение первых двух лет</w:t>
        <w:br/>
        <w:br/>
      </w:r>
      <w:hyperlink r:id="rId21">
        <w:r>
          <w:rPr>
            <w:color w:val="173C49"/>
            <w:u w:val="single"/>
          </w:rPr>
          <w:t>Клинические рекомендации Минздрава России. Злокачественные новообразования костей и суставных хрящей: остеосаркома, саркома Юинга, 2024 г.</w:t>
        </w:r>
      </w:hyperlink>
      <w:r>
        <w:rPr>
          <w:b w:val="0"/>
          <w:i/>
        </w:rPr>
        <w:t xml:space="preserve"> </w:t>
      </w:r>
      <w:hyperlink r:id="rId39">
        <w:r>
          <w:rPr>
            <w:color w:val="173C49"/>
            <w:u w:val="single"/>
          </w:rPr>
          <w:t>(1)</w:t>
        </w:r>
      </w:hyperlink>
    </w:p>
    <w:p>
      <w:pPr>
        <w:pStyle w:val="Heading3"/>
        <w:keepNext/>
      </w:pPr>
      <w:r>
        <w:rPr>
          <w:b/>
          <w:color w:val="173C49"/>
        </w:rPr>
        <w:t>Вопрос 12.</w:t>
      </w:r>
    </w:p>
    <w:p>
      <w:pPr>
        <w:keepNext/>
      </w:pPr>
      <w:r>
        <w:rPr>
          <w:b w:val="0"/>
          <w:i w:val="0"/>
        </w:rPr>
        <w:t>Заболеваемость саркомой Юинга составляет +______+ случая на 1 миллион детского населения</w:t>
      </w:r>
    </w:p>
    <w:p>
      <w:pPr>
        <w:tabs>
          <w:tab w:pos="490" w:val="left"/>
        </w:tabs>
        <w:spacing w:after="60"/>
        <w:ind w:left="490" w:hanging="490"/>
      </w:pPr>
      <w:r>
        <w:rPr>
          <w:b/>
        </w:rPr>
        <w:t>1.</w:t>
      </w:r>
      <w:r>
        <w:tab/>
      </w:r>
      <w:r>
        <w:rPr>
          <w:b w:val="0"/>
          <w:i w:val="0"/>
        </w:rPr>
        <w:t>5,7</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5"/>
                    <a:stretch>
                      <a:fillRect/>
                    </a:stretch>
                  </pic:blipFill>
                  <pic:spPr>
                    <a:xfrm>
                      <a:off x="0" y="0"/>
                      <a:ext cx="214884" cy="214884"/>
                    </a:xfrm>
                    <a:prstGeom prst="rect"/>
                  </pic:spPr>
                </pic:pic>
              </a:graphicData>
            </a:graphic>
          </wp:inline>
        </w:drawing>
      </w:r>
      <w:r>
        <w:tab/>
      </w:r>
      <w:r>
        <w:rPr>
          <w:b w:val="0"/>
          <w:i w:val="0"/>
        </w:rPr>
        <w:t>2,9</w:t>
      </w:r>
    </w:p>
    <w:p>
      <w:pPr>
        <w:tabs>
          <w:tab w:pos="490" w:val="left"/>
        </w:tabs>
        <w:spacing w:after="60"/>
        <w:ind w:left="490" w:hanging="490"/>
      </w:pPr>
      <w:r>
        <w:rPr>
          <w:b/>
        </w:rPr>
        <w:t>3.</w:t>
      </w:r>
      <w:r>
        <w:tab/>
      </w:r>
      <w:r>
        <w:rPr>
          <w:b w:val="0"/>
          <w:i w:val="0"/>
        </w:rPr>
        <w:t>9,2</w:t>
      </w:r>
    </w:p>
    <w:p>
      <w:pPr>
        <w:tabs>
          <w:tab w:pos="490" w:val="left"/>
        </w:tabs>
        <w:spacing w:after="60"/>
        <w:ind w:left="490" w:hanging="490"/>
      </w:pPr>
      <w:r>
        <w:rPr>
          <w:b/>
        </w:rPr>
        <w:t>4.</w:t>
      </w:r>
      <w:r>
        <w:tab/>
      </w:r>
      <w:r>
        <w:rPr>
          <w:b w:val="0"/>
          <w:i w:val="0"/>
        </w:rPr>
        <w:t>4,3</w:t>
      </w:r>
    </w:p>
    <w:p>
      <w:pPr>
        <w:ind w:left="288"/>
      </w:pPr>
      <w:r>
        <w:rPr>
          <w:b/>
          <w:color w:val="173C49"/>
        </w:rPr>
        <w:t xml:space="preserve">Правильный ответ: </w:t>
      </w:r>
      <w:r>
        <w:rPr>
          <w:b/>
          <w:i w:val="0"/>
        </w:rPr>
        <w:t>2 — 2,9</w:t>
      </w:r>
    </w:p>
    <w:p>
      <w:pPr>
        <w:ind w:left="504"/>
      </w:pPr>
      <w:r>
        <w:rPr>
          <w:b w:val="0"/>
          <w:i/>
        </w:rPr>
        <w:t>Заболеваемость саркомой Юинга составляет 2,9 случая на 1 миллион детского населения</w:t>
        <w:br/>
        <w:br/>
      </w:r>
      <w:hyperlink r:id="rId21">
        <w:r>
          <w:rPr>
            <w:color w:val="173C49"/>
            <w:u w:val="single"/>
          </w:rPr>
          <w:t>Клинические рекомендации Минздрава России. Злокачественные новообразования костей и суставных хрящей: остеосаркома, саркома Юинга, 2024 г.</w:t>
        </w:r>
      </w:hyperlink>
      <w:r>
        <w:rPr>
          <w:b w:val="0"/>
          <w:i/>
        </w:rPr>
        <w:t xml:space="preserve"> </w:t>
      </w:r>
      <w:hyperlink r:id="rId40">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Детская онкология-гематология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image" Target="media/image5.png"/><Relationship Id="rId21" Type="http://schemas.openxmlformats.org/officeDocument/2006/relationships/hyperlink" Target="https://library.mededtech.ru/rest/documents/70_2/" TargetMode="External"/><Relationship Id="rId22" Type="http://schemas.openxmlformats.org/officeDocument/2006/relationships/hyperlink" Target="https://library.mededtech.ru/rest/documents/70_2/#list_item_nf57p9" TargetMode="External"/><Relationship Id="rId23" Type="http://schemas.openxmlformats.org/officeDocument/2006/relationships/hyperlink" Target="https://library.mededtech.ru/rest/documents/70_2/#list_item_l334q9" TargetMode="External"/><Relationship Id="rId24" Type="http://schemas.openxmlformats.org/officeDocument/2006/relationships/image" Target="media/image6.png"/><Relationship Id="rId25" Type="http://schemas.openxmlformats.org/officeDocument/2006/relationships/image" Target="media/image7.png"/><Relationship Id="rId26" Type="http://schemas.openxmlformats.org/officeDocument/2006/relationships/hyperlink" Target="https://library.mededtech.ru/rest/documents/70_2/#list_item_03vss8" TargetMode="External"/><Relationship Id="rId27" Type="http://schemas.openxmlformats.org/officeDocument/2006/relationships/hyperlink" Target="https://library.mededtech.ru/rest/documents/70_2/#list_item_cf805a" TargetMode="External"/><Relationship Id="rId28" Type="http://schemas.openxmlformats.org/officeDocument/2006/relationships/hyperlink" Target="https://library.mededtech.ru/rest/documents/70_2/#paragraph_1ae3u7" TargetMode="External"/><Relationship Id="rId29" Type="http://schemas.openxmlformats.org/officeDocument/2006/relationships/hyperlink" Target="https://library.mededtech.ru/rest/documents/70_2/#list_item_c0u1am" TargetMode="External"/><Relationship Id="rId30" Type="http://schemas.openxmlformats.org/officeDocument/2006/relationships/hyperlink" Target="https://library.mededtech.ru/rest/documents/70_2/#paragraph_1ji17r" TargetMode="External"/><Relationship Id="rId31" Type="http://schemas.openxmlformats.org/officeDocument/2006/relationships/hyperlink" Target="https://library.mededtech.ru/rest/documents/70_2/#paragraph_9tatl2" TargetMode="External"/><Relationship Id="rId32" Type="http://schemas.openxmlformats.org/officeDocument/2006/relationships/hyperlink" Target="https://library.mededtech.ru/rest/documents/70_2/#list_item_q84ak4" TargetMode="External"/><Relationship Id="rId33" Type="http://schemas.openxmlformats.org/officeDocument/2006/relationships/hyperlink" Target="https://library.mededtech.ru/rest/documents/70_2/#list_item_bfd6dk" TargetMode="External"/><Relationship Id="rId34" Type="http://schemas.openxmlformats.org/officeDocument/2006/relationships/hyperlink" Target="https://library.mededtech.ru/rest/documents/70_2/#paragraph_1e72qe" TargetMode="External"/><Relationship Id="rId35" Type="http://schemas.openxmlformats.org/officeDocument/2006/relationships/hyperlink" Target="https://library.mededtech.ru/rest/documents/70_2/#list_item_m3nc0k" TargetMode="External"/><Relationship Id="rId36" Type="http://schemas.openxmlformats.org/officeDocument/2006/relationships/hyperlink" Target="https://library.mededtech.ru/rest/documents/70_2/#paragraph_6t8n0l" TargetMode="External"/><Relationship Id="rId37" Type="http://schemas.openxmlformats.org/officeDocument/2006/relationships/image" Target="media/image8.png"/><Relationship Id="rId38" Type="http://schemas.openxmlformats.org/officeDocument/2006/relationships/hyperlink" Target="https://library.mededtech.ru/rest/documents/70_2/#paragraph_m5fujd" TargetMode="External"/><Relationship Id="rId39" Type="http://schemas.openxmlformats.org/officeDocument/2006/relationships/hyperlink" Target="https://library.mededtech.ru/rest/documents/70_2/#table9" TargetMode="External"/><Relationship Id="rId40" Type="http://schemas.openxmlformats.org/officeDocument/2006/relationships/hyperlink" Target="https://library.mededtech.ru/rest/documents/70_2/#paragraph_pvbea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